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7D7A06" w14:textId="77777777" w:rsidR="00BF556D" w:rsidRPr="00BF556D" w:rsidRDefault="00BF556D" w:rsidP="00BF556D">
      <w:pPr>
        <w:spacing w:after="120" w:line="360" w:lineRule="auto"/>
        <w:ind w:left="567" w:right="1695"/>
        <w:rPr>
          <w:rFonts w:ascii="Arial" w:hAnsi="Arial" w:cs="Arial"/>
          <w:b/>
          <w:bCs/>
          <w:color w:val="000000" w:themeColor="text1"/>
          <w:sz w:val="28"/>
          <w:szCs w:val="28"/>
          <w:lang w:val="fr-FR"/>
        </w:rPr>
      </w:pPr>
      <w:r w:rsidRPr="00BF556D">
        <w:rPr>
          <w:rFonts w:ascii="Arial" w:hAnsi="Arial" w:cs="Arial"/>
          <w:b/>
          <w:bCs/>
          <w:color w:val="000000" w:themeColor="text1"/>
          <w:sz w:val="28"/>
          <w:szCs w:val="28"/>
          <w:lang w:val="fr-FR"/>
        </w:rPr>
        <w:t xml:space="preserve">Nouveau semoir pneumatique compact </w:t>
      </w:r>
      <w:proofErr w:type="spellStart"/>
      <w:r w:rsidRPr="00BF556D">
        <w:rPr>
          <w:rFonts w:ascii="Arial" w:hAnsi="Arial" w:cs="Arial"/>
          <w:b/>
          <w:bCs/>
          <w:color w:val="000000" w:themeColor="text1"/>
          <w:sz w:val="28"/>
          <w:szCs w:val="28"/>
          <w:lang w:val="fr-FR"/>
        </w:rPr>
        <w:t>Centaya</w:t>
      </w:r>
      <w:proofErr w:type="spellEnd"/>
      <w:r w:rsidRPr="00BF556D">
        <w:rPr>
          <w:rFonts w:ascii="Arial" w:hAnsi="Arial" w:cs="Arial"/>
          <w:b/>
          <w:bCs/>
          <w:color w:val="000000" w:themeColor="text1"/>
          <w:sz w:val="28"/>
          <w:szCs w:val="28"/>
          <w:lang w:val="fr-FR"/>
        </w:rPr>
        <w:t xml:space="preserve"> 3000 </w:t>
      </w:r>
      <w:proofErr w:type="spellStart"/>
      <w:r w:rsidRPr="00BF556D">
        <w:rPr>
          <w:rFonts w:ascii="Arial" w:hAnsi="Arial" w:cs="Arial"/>
          <w:b/>
          <w:bCs/>
          <w:color w:val="000000" w:themeColor="text1"/>
          <w:sz w:val="28"/>
          <w:szCs w:val="28"/>
          <w:lang w:val="fr-FR"/>
        </w:rPr>
        <w:t>Special</w:t>
      </w:r>
      <w:proofErr w:type="spellEnd"/>
    </w:p>
    <w:p w14:paraId="74350678" w14:textId="77777777" w:rsidR="00036D42" w:rsidRPr="00BF556D" w:rsidRDefault="00036D42" w:rsidP="00E85652">
      <w:pPr>
        <w:spacing w:after="120" w:line="360" w:lineRule="auto"/>
        <w:ind w:left="567" w:right="1695"/>
        <w:rPr>
          <w:rFonts w:ascii="Arial" w:eastAsia="Arial" w:hAnsi="Arial" w:cs="Arial"/>
          <w:color w:val="000000" w:themeColor="text1"/>
          <w:lang w:val="fr-FR"/>
        </w:rPr>
      </w:pPr>
    </w:p>
    <w:p w14:paraId="1C44477A" w14:textId="65AC8A8C"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Pour le Sima 2022, AMAZONE élargit sa gamme de semoirs pneumatiques compacts avec 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3000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Le nouveau modèle de la gamme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remplace le semoir compact AD-P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w:t>
      </w:r>
    </w:p>
    <w:p w14:paraId="0276D57C"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est proposé en capacités de trémies de 1 000 l et 1 500 l et une largeur de travail de 3 m. Le semoir compact pneumatique peut être équipé du </w:t>
      </w:r>
      <w:proofErr w:type="spellStart"/>
      <w:r w:rsidRPr="00BF556D">
        <w:rPr>
          <w:rFonts w:ascii="Arial" w:eastAsia="Arial" w:hAnsi="Arial" w:cs="Arial"/>
          <w:color w:val="000000" w:themeColor="text1"/>
          <w:lang w:val="fr-FR"/>
        </w:rPr>
        <w:t>monodisque</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RoTeC</w:t>
      </w:r>
      <w:proofErr w:type="spellEnd"/>
      <w:r w:rsidRPr="00BF556D">
        <w:rPr>
          <w:rFonts w:ascii="Arial" w:eastAsia="Arial" w:hAnsi="Arial" w:cs="Arial"/>
          <w:color w:val="000000" w:themeColor="text1"/>
          <w:lang w:val="fr-FR"/>
        </w:rPr>
        <w:t xml:space="preserve"> ou du double disque </w:t>
      </w:r>
      <w:proofErr w:type="spellStart"/>
      <w:r w:rsidRPr="00BF556D">
        <w:rPr>
          <w:rFonts w:ascii="Arial" w:eastAsia="Arial" w:hAnsi="Arial" w:cs="Arial"/>
          <w:color w:val="000000" w:themeColor="text1"/>
          <w:lang w:val="fr-FR"/>
        </w:rPr>
        <w:t>TwinTeC</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w:t>
      </w:r>
    </w:p>
    <w:p w14:paraId="23E8B86F"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p>
    <w:p w14:paraId="31F8519F" w14:textId="77777777" w:rsidR="00BF556D" w:rsidRPr="00BF556D" w:rsidRDefault="00BF556D" w:rsidP="00BF556D">
      <w:pPr>
        <w:spacing w:after="120" w:line="360" w:lineRule="auto"/>
        <w:ind w:left="567" w:right="1695"/>
        <w:rPr>
          <w:rFonts w:ascii="Arial" w:eastAsia="Arial" w:hAnsi="Arial" w:cs="Arial"/>
          <w:b/>
          <w:bCs/>
          <w:color w:val="000000" w:themeColor="text1"/>
          <w:lang w:val="fr-FR"/>
        </w:rPr>
      </w:pPr>
      <w:r w:rsidRPr="00BF556D">
        <w:rPr>
          <w:rFonts w:ascii="Arial" w:eastAsia="Arial" w:hAnsi="Arial" w:cs="Arial"/>
          <w:b/>
          <w:bCs/>
          <w:color w:val="000000" w:themeColor="text1"/>
          <w:lang w:val="fr-FR"/>
        </w:rPr>
        <w:t>Compact, convivial, précis</w:t>
      </w:r>
    </w:p>
    <w:p w14:paraId="63600BDD" w14:textId="274BFD38"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La tête de distribution segmentée du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est logée derrière la trémie de semence et juste au-dessus des éléments de semis. Ce positionnement raccourcit les temps de trajets de la semence. La trémie est bien étirée vers l’avant pour optimiser le centre de gravité proche du tracteur. La tête de distribution est facile à atteindre par la passerelle et peut ainsi être contrôlée régulièrement. Le réglage des systèmes de </w:t>
      </w:r>
      <w:proofErr w:type="spellStart"/>
      <w:r w:rsidRPr="00BF556D">
        <w:rPr>
          <w:rFonts w:ascii="Arial" w:eastAsia="Arial" w:hAnsi="Arial" w:cs="Arial"/>
          <w:color w:val="000000" w:themeColor="text1"/>
          <w:lang w:val="fr-FR"/>
        </w:rPr>
        <w:t>jalonnage</w:t>
      </w:r>
      <w:proofErr w:type="spellEnd"/>
      <w:r w:rsidRPr="00BF556D">
        <w:rPr>
          <w:rFonts w:ascii="Arial" w:eastAsia="Arial" w:hAnsi="Arial" w:cs="Arial"/>
          <w:color w:val="000000" w:themeColor="text1"/>
          <w:lang w:val="fr-FR"/>
        </w:rPr>
        <w:t xml:space="preserve"> est aussi facile à réaliser grâce la bonne accessibilité.</w:t>
      </w:r>
    </w:p>
    <w:p w14:paraId="73557EB0" w14:textId="293E1773"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Grâce à la forme basse de la trémie, le conducteur a une meilleure vue d’ensemble de la machine. La grande ouverture de la trémie de 2,30 x 0,84 </w:t>
      </w:r>
      <w:proofErr w:type="spellStart"/>
      <w:r w:rsidRPr="00BF556D">
        <w:rPr>
          <w:rFonts w:ascii="Arial" w:eastAsia="Arial" w:hAnsi="Arial" w:cs="Arial"/>
          <w:color w:val="000000" w:themeColor="text1"/>
          <w:lang w:val="fr-FR"/>
        </w:rPr>
        <w:t>m</w:t>
      </w:r>
      <w:proofErr w:type="spellEnd"/>
      <w:r w:rsidRPr="00BF556D">
        <w:rPr>
          <w:rFonts w:ascii="Arial" w:eastAsia="Arial" w:hAnsi="Arial" w:cs="Arial"/>
          <w:color w:val="000000" w:themeColor="text1"/>
          <w:lang w:val="fr-FR"/>
        </w:rPr>
        <w:t xml:space="preserve"> permet un remplissage rapide et aisé par </w:t>
      </w:r>
      <w:proofErr w:type="spellStart"/>
      <w:r w:rsidRPr="00BF556D">
        <w:rPr>
          <w:rFonts w:ascii="Arial" w:eastAsia="Arial" w:hAnsi="Arial" w:cs="Arial"/>
          <w:color w:val="000000" w:themeColor="text1"/>
          <w:lang w:val="fr-FR"/>
        </w:rPr>
        <w:t>Bigbag</w:t>
      </w:r>
      <w:proofErr w:type="spellEnd"/>
      <w:r w:rsidRPr="00BF556D">
        <w:rPr>
          <w:rFonts w:ascii="Arial" w:eastAsia="Arial" w:hAnsi="Arial" w:cs="Arial"/>
          <w:color w:val="000000" w:themeColor="text1"/>
          <w:lang w:val="fr-FR"/>
        </w:rPr>
        <w:t>, par chargeur à godet ou par sac. Grâce à une alimentation conique et aux parois verticales de la trémie, la semence est guidée en sécurité jusqu’à l’organe de distribution. Les reliquats sont minimes.</w:t>
      </w:r>
    </w:p>
    <w:p w14:paraId="31EA1B5A"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Le semoir compact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est piloté par le biais de l’ISOBUS. Le logiciel développé par AMAZONE offre au conducteur un pilotage intuitif. Associé au </w:t>
      </w:r>
      <w:proofErr w:type="spellStart"/>
      <w:r w:rsidRPr="00BF556D">
        <w:rPr>
          <w:rFonts w:ascii="Arial" w:eastAsia="Arial" w:hAnsi="Arial" w:cs="Arial"/>
          <w:color w:val="000000" w:themeColor="text1"/>
          <w:lang w:val="fr-FR"/>
        </w:rPr>
        <w:t>TwinTerminal</w:t>
      </w:r>
      <w:proofErr w:type="spellEnd"/>
      <w:r w:rsidRPr="00BF556D">
        <w:rPr>
          <w:rFonts w:ascii="Arial" w:eastAsia="Arial" w:hAnsi="Arial" w:cs="Arial"/>
          <w:color w:val="000000" w:themeColor="text1"/>
          <w:lang w:val="fr-FR"/>
        </w:rPr>
        <w:t>, la machine est préparée facilement et rapidement pour le chantier.</w:t>
      </w:r>
    </w:p>
    <w:p w14:paraId="4BDD26BD" w14:textId="5387DB97" w:rsidR="00BF556D" w:rsidRPr="00BF556D" w:rsidRDefault="00BF556D" w:rsidP="00BF556D">
      <w:pPr>
        <w:rPr>
          <w:rFonts w:ascii="Arial" w:eastAsia="Arial" w:hAnsi="Arial" w:cs="Arial"/>
          <w:color w:val="000000" w:themeColor="text1"/>
          <w:lang w:val="fr-FR"/>
        </w:rPr>
      </w:pPr>
      <w:r w:rsidRPr="00BF556D">
        <w:rPr>
          <w:rFonts w:ascii="Arial" w:eastAsia="Arial" w:hAnsi="Arial" w:cs="Arial"/>
          <w:color w:val="000000" w:themeColor="text1"/>
          <w:lang w:val="fr-FR"/>
        </w:rPr>
        <w:br w:type="page"/>
      </w:r>
    </w:p>
    <w:p w14:paraId="061862C2" w14:textId="77777777" w:rsidR="00BF556D" w:rsidRPr="00BF556D" w:rsidRDefault="00BF556D" w:rsidP="00BF556D">
      <w:pPr>
        <w:spacing w:after="120" w:line="360" w:lineRule="auto"/>
        <w:ind w:left="567" w:right="1695"/>
        <w:rPr>
          <w:rFonts w:ascii="Arial" w:eastAsia="Arial" w:hAnsi="Arial" w:cs="Arial"/>
          <w:b/>
          <w:bCs/>
          <w:color w:val="000000" w:themeColor="text1"/>
          <w:lang w:val="fr-FR"/>
        </w:rPr>
      </w:pPr>
      <w:r w:rsidRPr="00BF556D">
        <w:rPr>
          <w:rFonts w:ascii="Arial" w:eastAsia="Arial" w:hAnsi="Arial" w:cs="Arial"/>
          <w:b/>
          <w:bCs/>
          <w:color w:val="000000" w:themeColor="text1"/>
          <w:lang w:val="fr-FR"/>
        </w:rPr>
        <w:lastRenderedPageBreak/>
        <w:t>Étalonnage ingénieux</w:t>
      </w:r>
    </w:p>
    <w:p w14:paraId="152ED8E6" w14:textId="7E23ECEF"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L’étalonnage de la trémie de semence est réalisé confortablement depuis la passerelle de chargement. L’unité de dosage bien accessible au fond de la trémie garantit un dosage homogène de la semence. La semence est accumulée au niveau de l’auget d’étalonnage fourni et pesée au moyen de la balance comprise en standard.</w:t>
      </w:r>
    </w:p>
    <w:p w14:paraId="5EBA8E92" w14:textId="43458994"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Pour les autres semences ou des volumes de semence différents, AMAZONE propose différentes bobines de dosage pour 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Pour remplacer les bobines de dosage, il suffit de desserrer deux vis juste au niveau de l’unité de dosage en utilisant l’outil fourni.</w:t>
      </w:r>
    </w:p>
    <w:p w14:paraId="35FC681B"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Pour faciliter encore le </w:t>
      </w:r>
      <w:proofErr w:type="spellStart"/>
      <w:r w:rsidRPr="00BF556D">
        <w:rPr>
          <w:rFonts w:ascii="Arial" w:eastAsia="Arial" w:hAnsi="Arial" w:cs="Arial"/>
          <w:color w:val="000000" w:themeColor="text1"/>
          <w:lang w:val="fr-FR"/>
        </w:rPr>
        <w:t>prédosage</w:t>
      </w:r>
      <w:proofErr w:type="spellEnd"/>
      <w:r w:rsidRPr="00BF556D">
        <w:rPr>
          <w:rFonts w:ascii="Arial" w:eastAsia="Arial" w:hAnsi="Arial" w:cs="Arial"/>
          <w:color w:val="000000" w:themeColor="text1"/>
          <w:lang w:val="fr-FR"/>
        </w:rPr>
        <w:t xml:space="preserve">, l’étalonnage et la vidange du reliquat, AMAZONE propose pour 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associé au terminal </w:t>
      </w:r>
      <w:proofErr w:type="spellStart"/>
      <w:r w:rsidRPr="00BF556D">
        <w:rPr>
          <w:rFonts w:ascii="Arial" w:eastAsia="Arial" w:hAnsi="Arial" w:cs="Arial"/>
          <w:color w:val="000000" w:themeColor="text1"/>
          <w:lang w:val="fr-FR"/>
        </w:rPr>
        <w:t>AmaTron</w:t>
      </w:r>
      <w:proofErr w:type="spellEnd"/>
      <w:r w:rsidRPr="00BF556D">
        <w:rPr>
          <w:rFonts w:ascii="Arial" w:eastAsia="Arial" w:hAnsi="Arial" w:cs="Arial"/>
          <w:color w:val="000000" w:themeColor="text1"/>
          <w:lang w:val="fr-FR"/>
        </w:rPr>
        <w:t xml:space="preserve"> 4, le pack Confort avec </w:t>
      </w:r>
      <w:proofErr w:type="spellStart"/>
      <w:r w:rsidRPr="00BF556D">
        <w:rPr>
          <w:rFonts w:ascii="Arial" w:eastAsia="Arial" w:hAnsi="Arial" w:cs="Arial"/>
          <w:color w:val="000000" w:themeColor="text1"/>
          <w:lang w:val="fr-FR"/>
        </w:rPr>
        <w:t>TwinTerminal</w:t>
      </w:r>
      <w:proofErr w:type="spellEnd"/>
      <w:r w:rsidRPr="00BF556D">
        <w:rPr>
          <w:rFonts w:ascii="Arial" w:eastAsia="Arial" w:hAnsi="Arial" w:cs="Arial"/>
          <w:color w:val="000000" w:themeColor="text1"/>
          <w:lang w:val="fr-FR"/>
        </w:rPr>
        <w:t xml:space="preserve"> 3.0. Ce terminal est fixé avec un aimant à proximité de l’unité de dosage. L’étalonnage se fait donc directement sur la machine, sans avoir à monter et descendre constamment du tracteur. Pour la commande ISOBUS du combiné de semis, on utilise au choix les terminaux ISOBUS </w:t>
      </w:r>
      <w:proofErr w:type="spellStart"/>
      <w:r w:rsidRPr="00BF556D">
        <w:rPr>
          <w:rFonts w:ascii="Arial" w:eastAsia="Arial" w:hAnsi="Arial" w:cs="Arial"/>
          <w:color w:val="000000" w:themeColor="text1"/>
          <w:lang w:val="fr-FR"/>
        </w:rPr>
        <w:t>AmaTron</w:t>
      </w:r>
      <w:proofErr w:type="spellEnd"/>
      <w:r w:rsidRPr="00BF556D">
        <w:rPr>
          <w:rFonts w:ascii="Arial" w:eastAsia="Arial" w:hAnsi="Arial" w:cs="Arial"/>
          <w:color w:val="000000" w:themeColor="text1"/>
          <w:lang w:val="fr-FR"/>
        </w:rPr>
        <w:t xml:space="preserve"> 4, </w:t>
      </w:r>
      <w:proofErr w:type="spellStart"/>
      <w:r w:rsidRPr="00BF556D">
        <w:rPr>
          <w:rFonts w:ascii="Arial" w:eastAsia="Arial" w:hAnsi="Arial" w:cs="Arial"/>
          <w:color w:val="000000" w:themeColor="text1"/>
          <w:lang w:val="fr-FR"/>
        </w:rPr>
        <w:t>AmaPad</w:t>
      </w:r>
      <w:proofErr w:type="spellEnd"/>
      <w:r w:rsidRPr="00BF556D">
        <w:rPr>
          <w:rFonts w:ascii="Arial" w:eastAsia="Arial" w:hAnsi="Arial" w:cs="Arial"/>
          <w:color w:val="000000" w:themeColor="text1"/>
          <w:lang w:val="fr-FR"/>
        </w:rPr>
        <w:t xml:space="preserve"> 2 AMAZONE ou n’importe quel terminal ISOBUS d’un autre constructeur.</w:t>
      </w:r>
    </w:p>
    <w:p w14:paraId="2F32B152"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p>
    <w:p w14:paraId="46C964A4"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proofErr w:type="spellStart"/>
      <w:r w:rsidRPr="00BF556D">
        <w:rPr>
          <w:rFonts w:ascii="Arial" w:eastAsia="Arial" w:hAnsi="Arial" w:cs="Arial"/>
          <w:b/>
          <w:bCs/>
          <w:color w:val="000000" w:themeColor="text1"/>
          <w:lang w:val="fr-FR"/>
        </w:rPr>
        <w:t>Monodisque</w:t>
      </w:r>
      <w:proofErr w:type="spellEnd"/>
      <w:r w:rsidRPr="00BF556D">
        <w:rPr>
          <w:rFonts w:ascii="Arial" w:eastAsia="Arial" w:hAnsi="Arial" w:cs="Arial"/>
          <w:b/>
          <w:bCs/>
          <w:color w:val="000000" w:themeColor="text1"/>
          <w:lang w:val="fr-FR"/>
        </w:rPr>
        <w:t xml:space="preserve"> ou double disque</w:t>
      </w:r>
    </w:p>
    <w:p w14:paraId="6341A9C7" w14:textId="5DBBDD3D"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est équipé au choix du </w:t>
      </w:r>
      <w:proofErr w:type="spellStart"/>
      <w:r w:rsidRPr="00BF556D">
        <w:rPr>
          <w:rFonts w:ascii="Arial" w:eastAsia="Arial" w:hAnsi="Arial" w:cs="Arial"/>
          <w:color w:val="000000" w:themeColor="text1"/>
          <w:lang w:val="fr-FR"/>
        </w:rPr>
        <w:t>monodisque</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RoTeC</w:t>
      </w:r>
      <w:proofErr w:type="spellEnd"/>
      <w:r w:rsidRPr="00BF556D">
        <w:rPr>
          <w:rFonts w:ascii="Arial" w:eastAsia="Arial" w:hAnsi="Arial" w:cs="Arial"/>
          <w:color w:val="000000" w:themeColor="text1"/>
          <w:lang w:val="fr-FR"/>
        </w:rPr>
        <w:t xml:space="preserve"> ou du double disque </w:t>
      </w:r>
      <w:proofErr w:type="spellStart"/>
      <w:r w:rsidRPr="00BF556D">
        <w:rPr>
          <w:rFonts w:ascii="Arial" w:eastAsia="Arial" w:hAnsi="Arial" w:cs="Arial"/>
          <w:color w:val="000000" w:themeColor="text1"/>
          <w:lang w:val="fr-FR"/>
        </w:rPr>
        <w:t>TwinTeC</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w:t>
      </w:r>
    </w:p>
    <w:p w14:paraId="4F336E19" w14:textId="0B234B46"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Les </w:t>
      </w:r>
      <w:proofErr w:type="spellStart"/>
      <w:r w:rsidRPr="00BF556D">
        <w:rPr>
          <w:rFonts w:ascii="Arial" w:eastAsia="Arial" w:hAnsi="Arial" w:cs="Arial"/>
          <w:color w:val="000000" w:themeColor="text1"/>
          <w:lang w:val="fr-FR"/>
        </w:rPr>
        <w:t>RoTeC</w:t>
      </w:r>
      <w:proofErr w:type="spellEnd"/>
      <w:r w:rsidRPr="00BF556D">
        <w:rPr>
          <w:rFonts w:ascii="Arial" w:eastAsia="Arial" w:hAnsi="Arial" w:cs="Arial"/>
          <w:color w:val="000000" w:themeColor="text1"/>
          <w:lang w:val="fr-FR"/>
        </w:rPr>
        <w:t xml:space="preserve"> sont sans entretien et travaillent de façon très fiable, même avec des volumes de paille et des résidus de récolte importants. La formation du sillon et le guidage optimal de la semence dans le sol sont assurés d’un côté par le disque semeur et de l’autre par le disque ouvreur. La roue de jauge Control 10 ou Control 25 empêche la terre d’adhérer sur le disque semeur et garantit parfaitement le respect de la profondeur de semis définie. Les écarts de rangs possibles sont de 12,5 cm et de 15 cm.</w:t>
      </w:r>
    </w:p>
    <w:p w14:paraId="0313A507"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lastRenderedPageBreak/>
        <w:t xml:space="preserve">Équipé des doubles disques performants </w:t>
      </w:r>
      <w:proofErr w:type="spellStart"/>
      <w:r w:rsidRPr="00BF556D">
        <w:rPr>
          <w:rFonts w:ascii="Arial" w:eastAsia="Arial" w:hAnsi="Arial" w:cs="Arial"/>
          <w:color w:val="000000" w:themeColor="text1"/>
          <w:lang w:val="fr-FR"/>
        </w:rPr>
        <w:t>TwinTeC</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le semoir offre un double disque précis et robuste. Avec un diamètre de disque de 340 mm et une pression de terrage de 40 kg, l’élément semeur permet une implantation très précise et parfaite de la semence, même à des vitesses élevées et sur des sols hétérogènes. La roue de jauge en aval assure une homogénéité du sol toujours parfaite pour garantir une implantation optimale de la semence. Même dans les conditions les plus difficiles l’élément semeur brille par sa régularité. L’inter-rang est de 15 cm.</w:t>
      </w:r>
    </w:p>
    <w:p w14:paraId="23AEBF42"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p>
    <w:p w14:paraId="01EC05EC" w14:textId="77777777" w:rsidR="00BF556D"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b/>
          <w:bCs/>
          <w:color w:val="000000" w:themeColor="text1"/>
          <w:lang w:val="fr-FR"/>
        </w:rPr>
        <w:t xml:space="preserve">Système de couplage rapide </w:t>
      </w:r>
      <w:proofErr w:type="spellStart"/>
      <w:r w:rsidRPr="00BF556D">
        <w:rPr>
          <w:rFonts w:ascii="Arial" w:eastAsia="Arial" w:hAnsi="Arial" w:cs="Arial"/>
          <w:b/>
          <w:bCs/>
          <w:color w:val="000000" w:themeColor="text1"/>
          <w:lang w:val="fr-FR"/>
        </w:rPr>
        <w:t>QuickLink</w:t>
      </w:r>
      <w:proofErr w:type="spellEnd"/>
      <w:r w:rsidRPr="00BF556D">
        <w:rPr>
          <w:rFonts w:ascii="Arial" w:eastAsia="Arial" w:hAnsi="Arial" w:cs="Arial"/>
          <w:b/>
          <w:bCs/>
          <w:color w:val="000000" w:themeColor="text1"/>
          <w:lang w:val="fr-FR"/>
        </w:rPr>
        <w:t xml:space="preserve"> </w:t>
      </w:r>
    </w:p>
    <w:p w14:paraId="50980B04" w14:textId="269FDFA5" w:rsidR="00A52775" w:rsidRPr="00BF556D" w:rsidRDefault="00BF556D" w:rsidP="00BF556D">
      <w:pPr>
        <w:spacing w:after="120" w:line="360" w:lineRule="auto"/>
        <w:ind w:left="567" w:right="1695"/>
        <w:rPr>
          <w:rFonts w:ascii="Arial" w:eastAsia="Arial" w:hAnsi="Arial" w:cs="Arial"/>
          <w:color w:val="000000" w:themeColor="text1"/>
          <w:lang w:val="fr-FR"/>
        </w:rPr>
      </w:pPr>
      <w:r w:rsidRPr="00BF556D">
        <w:rPr>
          <w:rFonts w:ascii="Arial" w:eastAsia="Arial" w:hAnsi="Arial" w:cs="Arial"/>
          <w:color w:val="000000" w:themeColor="text1"/>
          <w:lang w:val="fr-FR"/>
        </w:rPr>
        <w:t xml:space="preserve">Grâce au système de couplage rapide </w:t>
      </w:r>
      <w:proofErr w:type="spellStart"/>
      <w:r w:rsidRPr="00BF556D">
        <w:rPr>
          <w:rFonts w:ascii="Arial" w:eastAsia="Arial" w:hAnsi="Arial" w:cs="Arial"/>
          <w:color w:val="000000" w:themeColor="text1"/>
          <w:lang w:val="fr-FR"/>
        </w:rPr>
        <w:t>QuickLink</w:t>
      </w:r>
      <w:proofErr w:type="spellEnd"/>
      <w:r w:rsidRPr="00BF556D">
        <w:rPr>
          <w:rFonts w:ascii="Arial" w:eastAsia="Arial" w:hAnsi="Arial" w:cs="Arial"/>
          <w:color w:val="000000" w:themeColor="text1"/>
          <w:lang w:val="fr-FR"/>
        </w:rPr>
        <w:t xml:space="preserve">, le semoir compact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est couplé très facilement, rapidement et sans outil aux différents outils de préparation du sol AMAZONE. En fonction des conditions de sol, un combiné composé des herses rotatives KE 02 ou des cultivateurs rotatifs KG et KX est possible. Sur des sols très légers, le </w:t>
      </w:r>
      <w:proofErr w:type="spellStart"/>
      <w:r w:rsidRPr="00BF556D">
        <w:rPr>
          <w:rFonts w:ascii="Arial" w:eastAsia="Arial" w:hAnsi="Arial" w:cs="Arial"/>
          <w:color w:val="000000" w:themeColor="text1"/>
          <w:lang w:val="fr-FR"/>
        </w:rPr>
        <w:t>Centaya</w:t>
      </w:r>
      <w:proofErr w:type="spellEnd"/>
      <w:r w:rsidRPr="00BF556D">
        <w:rPr>
          <w:rFonts w:ascii="Arial" w:eastAsia="Arial" w:hAnsi="Arial" w:cs="Arial"/>
          <w:color w:val="000000" w:themeColor="text1"/>
          <w:lang w:val="fr-FR"/>
        </w:rPr>
        <w:t xml:space="preserve"> </w:t>
      </w:r>
      <w:proofErr w:type="spellStart"/>
      <w:r w:rsidRPr="00BF556D">
        <w:rPr>
          <w:rFonts w:ascii="Arial" w:eastAsia="Arial" w:hAnsi="Arial" w:cs="Arial"/>
          <w:color w:val="000000" w:themeColor="text1"/>
          <w:lang w:val="fr-FR"/>
        </w:rPr>
        <w:t>Special</w:t>
      </w:r>
      <w:proofErr w:type="spellEnd"/>
      <w:r w:rsidRPr="00BF556D">
        <w:rPr>
          <w:rFonts w:ascii="Arial" w:eastAsia="Arial" w:hAnsi="Arial" w:cs="Arial"/>
          <w:color w:val="000000" w:themeColor="text1"/>
          <w:lang w:val="fr-FR"/>
        </w:rPr>
        <w:t xml:space="preserve"> peut être utilisé avec le préparateur de sol à disques indépendants </w:t>
      </w:r>
      <w:proofErr w:type="spellStart"/>
      <w:r w:rsidRPr="00BF556D">
        <w:rPr>
          <w:rFonts w:ascii="Arial" w:eastAsia="Arial" w:hAnsi="Arial" w:cs="Arial"/>
          <w:color w:val="000000" w:themeColor="text1"/>
          <w:lang w:val="fr-FR"/>
        </w:rPr>
        <w:t>CombiDisc</w:t>
      </w:r>
      <w:proofErr w:type="spellEnd"/>
      <w:r w:rsidRPr="00BF556D">
        <w:rPr>
          <w:rFonts w:ascii="Arial" w:eastAsia="Arial" w:hAnsi="Arial" w:cs="Arial"/>
          <w:color w:val="000000" w:themeColor="text1"/>
          <w:lang w:val="fr-FR"/>
        </w:rPr>
        <w:t>.</w:t>
      </w:r>
    </w:p>
    <w:p w14:paraId="5E537A28" w14:textId="438239BB" w:rsidR="00BF556D" w:rsidRDefault="00BF556D" w:rsidP="00BF556D">
      <w:pPr>
        <w:spacing w:after="120" w:line="360" w:lineRule="auto"/>
        <w:ind w:left="567" w:right="1695"/>
        <w:rPr>
          <w:rFonts w:ascii="Arial" w:eastAsia="Arial" w:hAnsi="Arial" w:cs="Arial"/>
          <w:color w:val="FF0000"/>
          <w:lang w:val="fr-FR"/>
        </w:rPr>
      </w:pPr>
    </w:p>
    <w:p w14:paraId="75ED95AB" w14:textId="3693C00D" w:rsidR="00BF556D" w:rsidRDefault="00BF556D" w:rsidP="00BF556D">
      <w:pPr>
        <w:spacing w:after="120" w:line="360" w:lineRule="auto"/>
        <w:ind w:left="567" w:right="1695"/>
        <w:rPr>
          <w:rFonts w:ascii="Arial" w:eastAsia="Arial" w:hAnsi="Arial" w:cs="Arial"/>
          <w:color w:val="FF0000"/>
          <w:lang w:val="fr-FR"/>
        </w:rPr>
      </w:pPr>
    </w:p>
    <w:p w14:paraId="5D3B812C" w14:textId="4ED755A4" w:rsidR="00BF556D" w:rsidRDefault="00BF556D" w:rsidP="00BF556D">
      <w:pPr>
        <w:spacing w:after="120" w:line="360" w:lineRule="auto"/>
        <w:ind w:left="567" w:right="1695"/>
        <w:rPr>
          <w:rFonts w:ascii="Arial" w:eastAsia="Arial" w:hAnsi="Arial" w:cs="Arial"/>
          <w:color w:val="FF0000"/>
          <w:lang w:val="fr-FR"/>
        </w:rPr>
      </w:pPr>
    </w:p>
    <w:p w14:paraId="35FD5A8E" w14:textId="77777777" w:rsidR="00BF556D" w:rsidRPr="00BF556D" w:rsidRDefault="00BF556D" w:rsidP="00BF556D">
      <w:pPr>
        <w:spacing w:after="120" w:line="360" w:lineRule="auto"/>
        <w:ind w:left="567" w:right="1695"/>
        <w:rPr>
          <w:rFonts w:ascii="Arial" w:eastAsia="Arial" w:hAnsi="Arial" w:cs="Arial"/>
          <w:color w:val="FF0000"/>
          <w:lang w:val="fr-FR"/>
        </w:rPr>
      </w:pPr>
    </w:p>
    <w:p w14:paraId="5798FBD9" w14:textId="246DE0FA" w:rsidR="0061248F" w:rsidRPr="004E4BDE" w:rsidRDefault="00A52775" w:rsidP="00070765">
      <w:pPr>
        <w:spacing w:after="120" w:line="360" w:lineRule="auto"/>
        <w:ind w:left="567" w:right="1695"/>
        <w:rPr>
          <w:rFonts w:ascii="Arial" w:hAnsi="Arial" w:cs="Arial"/>
          <w:bCs/>
          <w:color w:val="FF0000"/>
        </w:rPr>
      </w:pPr>
      <w:r w:rsidRPr="004E4BDE">
        <w:rPr>
          <w:rFonts w:ascii="Arial" w:hAnsi="Arial" w:cs="Arial"/>
          <w:bCs/>
          <w:noProof/>
          <w:color w:val="FF0000"/>
        </w:rPr>
        <w:lastRenderedPageBreak/>
        <w:drawing>
          <wp:inline distT="0" distB="0" distL="0" distR="0" wp14:anchorId="265CA1D3" wp14:editId="5E4DF49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4C69FAF" w14:textId="36149AE9" w:rsidR="00D43C2A" w:rsidRPr="007C7D94" w:rsidRDefault="007C7D94" w:rsidP="00D43C2A">
      <w:pPr>
        <w:tabs>
          <w:tab w:val="left" w:pos="3550"/>
        </w:tabs>
        <w:spacing w:line="360" w:lineRule="auto"/>
        <w:ind w:left="567" w:right="1128"/>
        <w:rPr>
          <w:rFonts w:ascii="Arial" w:hAnsi="Arial" w:cs="Arial"/>
          <w:bCs/>
          <w:color w:val="0D0D0D" w:themeColor="text1" w:themeTint="F2"/>
          <w:lang w:val="en-US"/>
        </w:rPr>
      </w:pPr>
      <w:proofErr w:type="spellStart"/>
      <w:r w:rsidRPr="007C7D94">
        <w:rPr>
          <w:rFonts w:ascii="Arial" w:hAnsi="Arial" w:cs="Arial"/>
          <w:bCs/>
          <w:color w:val="0D0D0D" w:themeColor="text1" w:themeTint="F2"/>
          <w:lang w:val="fr-FR"/>
        </w:rPr>
        <w:t>Centaya</w:t>
      </w:r>
      <w:proofErr w:type="spellEnd"/>
      <w:r w:rsidRPr="007C7D94">
        <w:rPr>
          <w:rFonts w:ascii="Arial" w:hAnsi="Arial" w:cs="Arial"/>
          <w:bCs/>
          <w:color w:val="0D0D0D" w:themeColor="text1" w:themeTint="F2"/>
          <w:lang w:val="fr-FR"/>
        </w:rPr>
        <w:t xml:space="preserve"> 3000 </w:t>
      </w:r>
      <w:proofErr w:type="spellStart"/>
      <w:r w:rsidRPr="007C7D94">
        <w:rPr>
          <w:rFonts w:ascii="Arial" w:hAnsi="Arial" w:cs="Arial"/>
          <w:bCs/>
          <w:color w:val="0D0D0D" w:themeColor="text1" w:themeTint="F2"/>
          <w:lang w:val="fr-FR"/>
        </w:rPr>
        <w:t>Special</w:t>
      </w:r>
      <w:proofErr w:type="spellEnd"/>
      <w:r w:rsidRPr="007C7D94">
        <w:rPr>
          <w:rFonts w:ascii="Arial" w:hAnsi="Arial" w:cs="Arial"/>
          <w:bCs/>
          <w:color w:val="0D0D0D" w:themeColor="text1" w:themeTint="F2"/>
          <w:lang w:val="fr-FR"/>
        </w:rPr>
        <w:t xml:space="preserve"> avec double disque </w:t>
      </w:r>
      <w:proofErr w:type="spellStart"/>
      <w:r w:rsidRPr="007C7D94">
        <w:rPr>
          <w:rFonts w:ascii="Arial" w:hAnsi="Arial" w:cs="Arial"/>
          <w:bCs/>
          <w:color w:val="0D0D0D" w:themeColor="text1" w:themeTint="F2"/>
          <w:lang w:val="fr-FR"/>
        </w:rPr>
        <w:t>TwinTeC</w:t>
      </w:r>
      <w:proofErr w:type="spellEnd"/>
      <w:r w:rsidRPr="007C7D94">
        <w:rPr>
          <w:rFonts w:ascii="Arial" w:hAnsi="Arial" w:cs="Arial"/>
          <w:bCs/>
          <w:color w:val="0D0D0D" w:themeColor="text1" w:themeTint="F2"/>
          <w:lang w:val="fr-FR"/>
        </w:rPr>
        <w:t xml:space="preserve"> </w:t>
      </w:r>
      <w:proofErr w:type="spellStart"/>
      <w:r w:rsidRPr="007C7D94">
        <w:rPr>
          <w:rFonts w:ascii="Arial" w:hAnsi="Arial" w:cs="Arial"/>
          <w:bCs/>
          <w:color w:val="0D0D0D" w:themeColor="text1" w:themeTint="F2"/>
          <w:lang w:val="fr-FR"/>
        </w:rPr>
        <w:t>Special</w:t>
      </w:r>
      <w:proofErr w:type="spellEnd"/>
    </w:p>
    <w:p w14:paraId="40CDFE03" w14:textId="6F7E87A1" w:rsidR="00060DFC" w:rsidRPr="007C7D94" w:rsidRDefault="00060DFC" w:rsidP="00D43C2A">
      <w:pPr>
        <w:tabs>
          <w:tab w:val="left" w:pos="3550"/>
        </w:tabs>
        <w:spacing w:line="360" w:lineRule="auto"/>
        <w:ind w:left="567" w:right="1128"/>
        <w:rPr>
          <w:rFonts w:ascii="Arial" w:hAnsi="Arial" w:cs="Arial"/>
          <w:bCs/>
          <w:color w:val="0D0D0D" w:themeColor="text1" w:themeTint="F2"/>
          <w:lang w:val="en-US"/>
        </w:rPr>
      </w:pPr>
    </w:p>
    <w:p w14:paraId="64262B77" w14:textId="77777777" w:rsidR="007C7D94" w:rsidRPr="007C7D94" w:rsidRDefault="007C7D94" w:rsidP="00D43C2A">
      <w:pPr>
        <w:tabs>
          <w:tab w:val="left" w:pos="3550"/>
        </w:tabs>
        <w:spacing w:line="360" w:lineRule="auto"/>
        <w:ind w:left="567" w:right="1128"/>
        <w:rPr>
          <w:rFonts w:ascii="Arial" w:hAnsi="Arial" w:cs="Arial"/>
          <w:bCs/>
          <w:color w:val="0D0D0D" w:themeColor="text1" w:themeTint="F2"/>
          <w:lang w:val="en-US"/>
        </w:rPr>
      </w:pPr>
    </w:p>
    <w:p w14:paraId="5DAFA73D" w14:textId="2BA384DB" w:rsidR="00060DFC" w:rsidRPr="007C7D94" w:rsidRDefault="00A52775" w:rsidP="00D43C2A">
      <w:pPr>
        <w:tabs>
          <w:tab w:val="left" w:pos="3550"/>
        </w:tabs>
        <w:spacing w:line="360" w:lineRule="auto"/>
        <w:ind w:left="567" w:right="1128"/>
        <w:rPr>
          <w:rFonts w:ascii="Arial" w:hAnsi="Arial" w:cs="Arial"/>
          <w:bCs/>
          <w:color w:val="0D0D0D" w:themeColor="text1" w:themeTint="F2"/>
          <w:lang w:val="en-US"/>
        </w:rPr>
      </w:pPr>
      <w:r w:rsidRPr="007C7D94">
        <w:rPr>
          <w:rFonts w:ascii="Arial" w:hAnsi="Arial" w:cs="Arial"/>
          <w:bCs/>
          <w:noProof/>
          <w:color w:val="0D0D0D" w:themeColor="text1" w:themeTint="F2"/>
          <w:lang w:val="en-US"/>
        </w:rPr>
        <w:drawing>
          <wp:inline distT="0" distB="0" distL="0" distR="0" wp14:anchorId="3B2C86D2" wp14:editId="6508B51F">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20C6D72" w14:textId="77777777" w:rsidR="007C7D94" w:rsidRPr="007C7D94" w:rsidRDefault="007C7D94" w:rsidP="007C7D94">
      <w:pPr>
        <w:tabs>
          <w:tab w:val="left" w:pos="3550"/>
        </w:tabs>
        <w:spacing w:line="360" w:lineRule="auto"/>
        <w:ind w:left="567" w:right="1128"/>
        <w:rPr>
          <w:rFonts w:ascii="Arial" w:hAnsi="Arial" w:cs="Arial"/>
          <w:bCs/>
          <w:color w:val="0D0D0D" w:themeColor="text1" w:themeTint="F2"/>
          <w:lang w:val="fr-FR"/>
        </w:rPr>
      </w:pPr>
      <w:proofErr w:type="spellStart"/>
      <w:r w:rsidRPr="007C7D94">
        <w:rPr>
          <w:rFonts w:ascii="Arial" w:hAnsi="Arial" w:cs="Arial"/>
          <w:bCs/>
          <w:color w:val="0D0D0D" w:themeColor="text1" w:themeTint="F2"/>
          <w:lang w:val="fr-FR"/>
        </w:rPr>
        <w:t>Centaya</w:t>
      </w:r>
      <w:proofErr w:type="spellEnd"/>
      <w:r w:rsidRPr="007C7D94">
        <w:rPr>
          <w:rFonts w:ascii="Arial" w:hAnsi="Arial" w:cs="Arial"/>
          <w:bCs/>
          <w:color w:val="0D0D0D" w:themeColor="text1" w:themeTint="F2"/>
          <w:lang w:val="fr-FR"/>
        </w:rPr>
        <w:t xml:space="preserve"> 3000 </w:t>
      </w:r>
      <w:proofErr w:type="spellStart"/>
      <w:r w:rsidRPr="007C7D94">
        <w:rPr>
          <w:rFonts w:ascii="Arial" w:hAnsi="Arial" w:cs="Arial"/>
          <w:bCs/>
          <w:color w:val="0D0D0D" w:themeColor="text1" w:themeTint="F2"/>
          <w:lang w:val="fr-FR"/>
        </w:rPr>
        <w:t>Special</w:t>
      </w:r>
      <w:proofErr w:type="spellEnd"/>
      <w:r w:rsidRPr="007C7D94">
        <w:rPr>
          <w:rFonts w:ascii="Arial" w:hAnsi="Arial" w:cs="Arial"/>
          <w:bCs/>
          <w:color w:val="0D0D0D" w:themeColor="text1" w:themeTint="F2"/>
          <w:lang w:val="fr-FR"/>
        </w:rPr>
        <w:t xml:space="preserve"> avec rouleau avant Nautilus</w:t>
      </w:r>
    </w:p>
    <w:p w14:paraId="0EC1D658" w14:textId="723556DE" w:rsidR="00060DFC" w:rsidRPr="007C7D94" w:rsidRDefault="00060DFC" w:rsidP="00D43C2A">
      <w:pPr>
        <w:tabs>
          <w:tab w:val="left" w:pos="3550"/>
        </w:tabs>
        <w:spacing w:line="360" w:lineRule="auto"/>
        <w:ind w:left="567" w:right="1128"/>
        <w:rPr>
          <w:rFonts w:ascii="Arial" w:hAnsi="Arial" w:cs="Arial"/>
          <w:bCs/>
          <w:color w:val="0D0D0D" w:themeColor="text1" w:themeTint="F2"/>
          <w:lang w:val="fr-FR"/>
        </w:rPr>
      </w:pPr>
    </w:p>
    <w:p w14:paraId="03528554" w14:textId="0FD1929A" w:rsidR="00060DFC" w:rsidRPr="007C7D94" w:rsidRDefault="00060DFC" w:rsidP="00D43C2A">
      <w:pPr>
        <w:tabs>
          <w:tab w:val="left" w:pos="3550"/>
        </w:tabs>
        <w:spacing w:line="360" w:lineRule="auto"/>
        <w:ind w:left="567" w:right="1128"/>
        <w:rPr>
          <w:rFonts w:ascii="Arial" w:hAnsi="Arial" w:cs="Arial"/>
          <w:bCs/>
          <w:color w:val="0D0D0D" w:themeColor="text1" w:themeTint="F2"/>
          <w:lang w:val="en-US"/>
        </w:rPr>
      </w:pPr>
    </w:p>
    <w:p w14:paraId="75F1E26E" w14:textId="3BD0BD8C" w:rsidR="00060DFC" w:rsidRPr="007C7D94" w:rsidRDefault="00A52775" w:rsidP="00D43C2A">
      <w:pPr>
        <w:tabs>
          <w:tab w:val="left" w:pos="3550"/>
        </w:tabs>
        <w:spacing w:line="360" w:lineRule="auto"/>
        <w:ind w:left="567" w:right="1128"/>
        <w:rPr>
          <w:rFonts w:ascii="Arial" w:hAnsi="Arial" w:cs="Arial"/>
          <w:bCs/>
          <w:color w:val="0D0D0D" w:themeColor="text1" w:themeTint="F2"/>
          <w:lang w:val="en-US"/>
        </w:rPr>
      </w:pPr>
      <w:r w:rsidRPr="007C7D94">
        <w:rPr>
          <w:rFonts w:ascii="Arial" w:hAnsi="Arial" w:cs="Arial"/>
          <w:bCs/>
          <w:noProof/>
          <w:color w:val="0D0D0D" w:themeColor="text1" w:themeTint="F2"/>
          <w:lang w:val="en-US"/>
        </w:rPr>
        <w:lastRenderedPageBreak/>
        <w:drawing>
          <wp:inline distT="0" distB="0" distL="0" distR="0" wp14:anchorId="520473A8" wp14:editId="14F6C242">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21B3208" w14:textId="77777777" w:rsidR="007C7D94" w:rsidRPr="007C7D94" w:rsidRDefault="007C7D94" w:rsidP="007C7D94">
      <w:pPr>
        <w:tabs>
          <w:tab w:val="left" w:pos="3550"/>
        </w:tabs>
        <w:spacing w:line="360" w:lineRule="auto"/>
        <w:ind w:left="567" w:right="1128"/>
        <w:rPr>
          <w:rFonts w:ascii="Arial" w:hAnsi="Arial" w:cs="Arial"/>
          <w:bCs/>
          <w:color w:val="0D0D0D" w:themeColor="text1" w:themeTint="F2"/>
          <w:lang w:val="fr-FR"/>
        </w:rPr>
      </w:pPr>
      <w:r w:rsidRPr="007C7D94">
        <w:rPr>
          <w:rFonts w:ascii="Arial" w:hAnsi="Arial" w:cs="Arial"/>
          <w:bCs/>
          <w:color w:val="0D0D0D" w:themeColor="text1" w:themeTint="F2"/>
          <w:lang w:val="fr-FR"/>
        </w:rPr>
        <w:t xml:space="preserve">Pour un étalonnage intelligent, AMAZONE propose le pack Confort avec </w:t>
      </w:r>
      <w:proofErr w:type="spellStart"/>
      <w:r w:rsidRPr="007C7D94">
        <w:rPr>
          <w:rFonts w:ascii="Arial" w:hAnsi="Arial" w:cs="Arial"/>
          <w:bCs/>
          <w:color w:val="0D0D0D" w:themeColor="text1" w:themeTint="F2"/>
          <w:lang w:val="fr-FR"/>
        </w:rPr>
        <w:t>TwinTerminal</w:t>
      </w:r>
      <w:proofErr w:type="spellEnd"/>
      <w:r w:rsidRPr="007C7D94">
        <w:rPr>
          <w:rFonts w:ascii="Arial" w:hAnsi="Arial" w:cs="Arial"/>
          <w:bCs/>
          <w:color w:val="0D0D0D" w:themeColor="text1" w:themeTint="F2"/>
          <w:lang w:val="fr-FR"/>
        </w:rPr>
        <w:t xml:space="preserve"> 3.0</w:t>
      </w:r>
    </w:p>
    <w:p w14:paraId="1FC51427" w14:textId="7CB14C2D" w:rsidR="00060DFC" w:rsidRPr="007C7D94" w:rsidRDefault="00060DFC" w:rsidP="00D43C2A">
      <w:pPr>
        <w:tabs>
          <w:tab w:val="left" w:pos="3550"/>
        </w:tabs>
        <w:spacing w:line="360" w:lineRule="auto"/>
        <w:ind w:left="567" w:right="1128"/>
        <w:rPr>
          <w:rFonts w:ascii="Arial" w:hAnsi="Arial" w:cs="Arial"/>
          <w:bCs/>
          <w:color w:val="0D0D0D" w:themeColor="text1" w:themeTint="F2"/>
          <w:lang w:val="fr-FR"/>
        </w:rPr>
      </w:pPr>
    </w:p>
    <w:p w14:paraId="38C44858" w14:textId="5D182452" w:rsidR="00060DFC" w:rsidRPr="007C7D94" w:rsidRDefault="00060DFC" w:rsidP="00D43C2A">
      <w:pPr>
        <w:tabs>
          <w:tab w:val="left" w:pos="3550"/>
        </w:tabs>
        <w:spacing w:line="360" w:lineRule="auto"/>
        <w:ind w:left="567" w:right="1128"/>
        <w:rPr>
          <w:rFonts w:ascii="Arial" w:hAnsi="Arial" w:cs="Arial"/>
          <w:bCs/>
          <w:color w:val="0D0D0D" w:themeColor="text1" w:themeTint="F2"/>
          <w:lang w:val="en-US"/>
        </w:rPr>
      </w:pPr>
    </w:p>
    <w:p w14:paraId="02363B27" w14:textId="27D5F560" w:rsidR="00060DFC" w:rsidRPr="007C7D94" w:rsidRDefault="00A52775" w:rsidP="00D43C2A">
      <w:pPr>
        <w:tabs>
          <w:tab w:val="left" w:pos="3550"/>
        </w:tabs>
        <w:spacing w:line="360" w:lineRule="auto"/>
        <w:ind w:left="567" w:right="1128"/>
        <w:rPr>
          <w:rFonts w:ascii="Arial" w:hAnsi="Arial" w:cs="Arial"/>
          <w:bCs/>
          <w:color w:val="0D0D0D" w:themeColor="text1" w:themeTint="F2"/>
        </w:rPr>
      </w:pPr>
      <w:r w:rsidRPr="007C7D94">
        <w:rPr>
          <w:rFonts w:ascii="Arial" w:hAnsi="Arial" w:cs="Arial"/>
          <w:bCs/>
          <w:noProof/>
          <w:color w:val="0D0D0D" w:themeColor="text1" w:themeTint="F2"/>
        </w:rPr>
        <w:drawing>
          <wp:inline distT="0" distB="0" distL="0" distR="0" wp14:anchorId="56332B6E" wp14:editId="3408B6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1E258ED" w14:textId="77777777" w:rsidR="007C7D94" w:rsidRPr="007C7D94" w:rsidRDefault="007C7D94" w:rsidP="007C7D94">
      <w:pPr>
        <w:tabs>
          <w:tab w:val="left" w:pos="3550"/>
        </w:tabs>
        <w:spacing w:line="360" w:lineRule="auto"/>
        <w:ind w:left="567" w:right="1128"/>
        <w:rPr>
          <w:rFonts w:ascii="Arial" w:hAnsi="Arial" w:cs="Arial"/>
          <w:bCs/>
          <w:color w:val="0D0D0D" w:themeColor="text1" w:themeTint="F2"/>
          <w:lang w:val="fr-FR"/>
        </w:rPr>
      </w:pPr>
      <w:r w:rsidRPr="007C7D94">
        <w:rPr>
          <w:rFonts w:ascii="Arial" w:hAnsi="Arial" w:cs="Arial"/>
          <w:bCs/>
          <w:color w:val="0D0D0D" w:themeColor="text1" w:themeTint="F2"/>
          <w:lang w:val="fr-FR"/>
        </w:rPr>
        <w:t xml:space="preserve">Double disque </w:t>
      </w:r>
      <w:proofErr w:type="spellStart"/>
      <w:r w:rsidRPr="007C7D94">
        <w:rPr>
          <w:rFonts w:ascii="Arial" w:hAnsi="Arial" w:cs="Arial"/>
          <w:bCs/>
          <w:color w:val="0D0D0D" w:themeColor="text1" w:themeTint="F2"/>
          <w:lang w:val="fr-FR"/>
        </w:rPr>
        <w:t>TwinTeC</w:t>
      </w:r>
      <w:proofErr w:type="spellEnd"/>
      <w:r w:rsidRPr="007C7D94">
        <w:rPr>
          <w:rFonts w:ascii="Arial" w:hAnsi="Arial" w:cs="Arial"/>
          <w:bCs/>
          <w:color w:val="0D0D0D" w:themeColor="text1" w:themeTint="F2"/>
          <w:lang w:val="fr-FR"/>
        </w:rPr>
        <w:t xml:space="preserve"> </w:t>
      </w:r>
      <w:proofErr w:type="spellStart"/>
      <w:r w:rsidRPr="007C7D94">
        <w:rPr>
          <w:rFonts w:ascii="Arial" w:hAnsi="Arial" w:cs="Arial"/>
          <w:bCs/>
          <w:color w:val="0D0D0D" w:themeColor="text1" w:themeTint="F2"/>
          <w:lang w:val="fr-FR"/>
        </w:rPr>
        <w:t>Special</w:t>
      </w:r>
      <w:proofErr w:type="spellEnd"/>
      <w:r w:rsidRPr="007C7D94">
        <w:rPr>
          <w:rFonts w:ascii="Arial" w:hAnsi="Arial" w:cs="Arial"/>
          <w:bCs/>
          <w:color w:val="0D0D0D" w:themeColor="text1" w:themeTint="F2"/>
          <w:lang w:val="fr-FR"/>
        </w:rPr>
        <w:t xml:space="preserve"> à un bras</w:t>
      </w:r>
    </w:p>
    <w:p w14:paraId="7E848825" w14:textId="361C371B" w:rsidR="00060DFC" w:rsidRPr="007C7D94" w:rsidRDefault="00060DFC" w:rsidP="00D43C2A">
      <w:pPr>
        <w:tabs>
          <w:tab w:val="left" w:pos="3550"/>
        </w:tabs>
        <w:spacing w:line="360" w:lineRule="auto"/>
        <w:ind w:left="567" w:right="1128"/>
        <w:rPr>
          <w:rFonts w:ascii="Arial" w:hAnsi="Arial" w:cs="Arial"/>
          <w:bCs/>
          <w:color w:val="0D0D0D" w:themeColor="text1" w:themeTint="F2"/>
          <w:lang w:val="en-US"/>
        </w:rPr>
      </w:pPr>
    </w:p>
    <w:p w14:paraId="737ADA0D" w14:textId="4B0C1D5B" w:rsidR="00060DFC" w:rsidRPr="007C7D94" w:rsidRDefault="00060DFC" w:rsidP="00D43C2A">
      <w:pPr>
        <w:tabs>
          <w:tab w:val="left" w:pos="3550"/>
        </w:tabs>
        <w:spacing w:line="360" w:lineRule="auto"/>
        <w:ind w:left="567" w:right="1128"/>
        <w:rPr>
          <w:rFonts w:ascii="Arial" w:hAnsi="Arial" w:cs="Arial"/>
          <w:bCs/>
          <w:color w:val="0D0D0D" w:themeColor="text1" w:themeTint="F2"/>
          <w:lang w:val="en-US"/>
        </w:rPr>
      </w:pPr>
    </w:p>
    <w:p w14:paraId="2ACF16FC" w14:textId="4D44996E" w:rsidR="00A52775" w:rsidRPr="007C7D94" w:rsidRDefault="00A52775">
      <w:pPr>
        <w:rPr>
          <w:rFonts w:ascii="Arial" w:hAnsi="Arial" w:cs="Arial"/>
          <w:bCs/>
          <w:color w:val="0D0D0D" w:themeColor="text1" w:themeTint="F2"/>
          <w:lang w:val="en-US"/>
        </w:rPr>
      </w:pPr>
      <w:r w:rsidRPr="007C7D94">
        <w:rPr>
          <w:rFonts w:ascii="Arial" w:hAnsi="Arial" w:cs="Arial"/>
          <w:bCs/>
          <w:color w:val="0D0D0D" w:themeColor="text1" w:themeTint="F2"/>
          <w:lang w:val="en-US"/>
        </w:rPr>
        <w:br w:type="page"/>
      </w:r>
    </w:p>
    <w:p w14:paraId="5BBEE52E" w14:textId="5EAB6263" w:rsidR="00060DFC" w:rsidRPr="007C7D94" w:rsidRDefault="00A52775" w:rsidP="00D43C2A">
      <w:pPr>
        <w:tabs>
          <w:tab w:val="left" w:pos="3550"/>
        </w:tabs>
        <w:spacing w:line="360" w:lineRule="auto"/>
        <w:ind w:left="567" w:right="1128"/>
        <w:rPr>
          <w:rFonts w:ascii="Arial" w:hAnsi="Arial" w:cs="Arial"/>
          <w:bCs/>
          <w:color w:val="0D0D0D" w:themeColor="text1" w:themeTint="F2"/>
        </w:rPr>
      </w:pPr>
      <w:r w:rsidRPr="007C7D94">
        <w:rPr>
          <w:rFonts w:ascii="Arial" w:hAnsi="Arial" w:cs="Arial"/>
          <w:bCs/>
          <w:noProof/>
          <w:color w:val="0D0D0D" w:themeColor="text1" w:themeTint="F2"/>
        </w:rPr>
        <w:lastRenderedPageBreak/>
        <w:drawing>
          <wp:inline distT="0" distB="0" distL="0" distR="0" wp14:anchorId="6FEA46CE" wp14:editId="06779EE7">
            <wp:extent cx="45468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6800" cy="2880000"/>
                    </a:xfrm>
                    <a:prstGeom prst="rect">
                      <a:avLst/>
                    </a:prstGeom>
                  </pic:spPr>
                </pic:pic>
              </a:graphicData>
            </a:graphic>
          </wp:inline>
        </w:drawing>
      </w:r>
    </w:p>
    <w:p w14:paraId="7E3328C1" w14:textId="10D3C6CB" w:rsidR="00D43C2A" w:rsidRDefault="007C7D94" w:rsidP="00151C17">
      <w:pPr>
        <w:tabs>
          <w:tab w:val="left" w:pos="3550"/>
        </w:tabs>
        <w:spacing w:line="360" w:lineRule="auto"/>
        <w:ind w:left="567" w:right="1128"/>
        <w:rPr>
          <w:rFonts w:ascii="Arial" w:hAnsi="Arial" w:cs="Arial"/>
          <w:bCs/>
          <w:color w:val="0D0D0D" w:themeColor="text1" w:themeTint="F2"/>
          <w:lang w:val="fr-FR"/>
        </w:rPr>
      </w:pPr>
      <w:r w:rsidRPr="007C7D94">
        <w:rPr>
          <w:rFonts w:ascii="Arial" w:hAnsi="Arial" w:cs="Arial"/>
          <w:bCs/>
          <w:color w:val="0D0D0D" w:themeColor="text1" w:themeTint="F2"/>
          <w:lang w:val="fr-FR"/>
        </w:rPr>
        <w:t xml:space="preserve">Le semoir compact </w:t>
      </w:r>
      <w:proofErr w:type="spellStart"/>
      <w:r w:rsidRPr="007C7D94">
        <w:rPr>
          <w:rFonts w:ascii="Arial" w:hAnsi="Arial" w:cs="Arial"/>
          <w:bCs/>
          <w:color w:val="0D0D0D" w:themeColor="text1" w:themeTint="F2"/>
          <w:lang w:val="fr-FR"/>
        </w:rPr>
        <w:t>Centaya</w:t>
      </w:r>
      <w:proofErr w:type="spellEnd"/>
      <w:r w:rsidRPr="007C7D94">
        <w:rPr>
          <w:rFonts w:ascii="Arial" w:hAnsi="Arial" w:cs="Arial"/>
          <w:bCs/>
          <w:color w:val="0D0D0D" w:themeColor="text1" w:themeTint="F2"/>
          <w:lang w:val="fr-FR"/>
        </w:rPr>
        <w:t xml:space="preserve"> 3000 </w:t>
      </w:r>
      <w:proofErr w:type="spellStart"/>
      <w:r w:rsidRPr="007C7D94">
        <w:rPr>
          <w:rFonts w:ascii="Arial" w:hAnsi="Arial" w:cs="Arial"/>
          <w:bCs/>
          <w:color w:val="0D0D0D" w:themeColor="text1" w:themeTint="F2"/>
          <w:lang w:val="fr-FR"/>
        </w:rPr>
        <w:t>Special</w:t>
      </w:r>
      <w:proofErr w:type="spellEnd"/>
      <w:r w:rsidRPr="007C7D94">
        <w:rPr>
          <w:rFonts w:ascii="Arial" w:hAnsi="Arial" w:cs="Arial"/>
          <w:bCs/>
          <w:color w:val="0D0D0D" w:themeColor="text1" w:themeTint="F2"/>
          <w:lang w:val="fr-FR"/>
        </w:rPr>
        <w:t xml:space="preserve"> est relié à la herse rotative KE 3002-190 </w:t>
      </w:r>
      <w:proofErr w:type="spellStart"/>
      <w:r w:rsidRPr="007C7D94">
        <w:rPr>
          <w:rFonts w:ascii="Arial" w:hAnsi="Arial" w:cs="Arial"/>
          <w:bCs/>
          <w:color w:val="0D0D0D" w:themeColor="text1" w:themeTint="F2"/>
          <w:lang w:val="fr-FR"/>
        </w:rPr>
        <w:t>Rotamix</w:t>
      </w:r>
      <w:proofErr w:type="spellEnd"/>
      <w:r w:rsidRPr="007C7D94">
        <w:rPr>
          <w:rFonts w:ascii="Arial" w:hAnsi="Arial" w:cs="Arial"/>
          <w:bCs/>
          <w:color w:val="0D0D0D" w:themeColor="text1" w:themeTint="F2"/>
          <w:lang w:val="fr-FR"/>
        </w:rPr>
        <w:t xml:space="preserve"> par le biais du système de couplage </w:t>
      </w:r>
      <w:proofErr w:type="spellStart"/>
      <w:r w:rsidRPr="007C7D94">
        <w:rPr>
          <w:rFonts w:ascii="Arial" w:hAnsi="Arial" w:cs="Arial"/>
          <w:bCs/>
          <w:color w:val="0D0D0D" w:themeColor="text1" w:themeTint="F2"/>
          <w:lang w:val="fr-FR"/>
        </w:rPr>
        <w:t>QuickLink</w:t>
      </w:r>
      <w:proofErr w:type="spellEnd"/>
    </w:p>
    <w:p w14:paraId="277E0714" w14:textId="28E25FFC" w:rsidR="00151C17" w:rsidRDefault="00151C17" w:rsidP="00151C17">
      <w:pPr>
        <w:tabs>
          <w:tab w:val="left" w:pos="3550"/>
        </w:tabs>
        <w:spacing w:line="360" w:lineRule="auto"/>
        <w:ind w:left="567" w:right="1128"/>
        <w:rPr>
          <w:rFonts w:ascii="Arial" w:hAnsi="Arial" w:cs="Arial"/>
          <w:bCs/>
          <w:color w:val="0D0D0D" w:themeColor="text1" w:themeTint="F2"/>
          <w:lang w:val="fr-FR"/>
        </w:rPr>
      </w:pPr>
    </w:p>
    <w:p w14:paraId="0F891899" w14:textId="77777777" w:rsidR="00151C17" w:rsidRPr="00151C17" w:rsidRDefault="00151C17" w:rsidP="00151C17">
      <w:pPr>
        <w:tabs>
          <w:tab w:val="left" w:pos="3550"/>
        </w:tabs>
        <w:spacing w:line="360" w:lineRule="auto"/>
        <w:ind w:left="567" w:right="1128"/>
        <w:rPr>
          <w:rFonts w:ascii="Arial" w:hAnsi="Arial" w:cs="Arial"/>
          <w:bCs/>
          <w:color w:val="0D0D0D" w:themeColor="text1" w:themeTint="F2"/>
          <w:lang w:val="fr-FR"/>
        </w:rPr>
      </w:pPr>
    </w:p>
    <w:p w14:paraId="6444E239" w14:textId="40EC9760" w:rsidR="00D43C2A" w:rsidRPr="007C7D94" w:rsidRDefault="00A52775" w:rsidP="00D43C2A">
      <w:pPr>
        <w:tabs>
          <w:tab w:val="left" w:pos="3550"/>
        </w:tabs>
        <w:spacing w:line="360" w:lineRule="auto"/>
        <w:ind w:left="567" w:right="1128"/>
        <w:rPr>
          <w:rFonts w:ascii="Arial" w:hAnsi="Arial" w:cs="Arial"/>
          <w:bCs/>
          <w:color w:val="0D0D0D" w:themeColor="text1" w:themeTint="F2"/>
        </w:rPr>
      </w:pPr>
      <w:r w:rsidRPr="007C7D94">
        <w:rPr>
          <w:rFonts w:ascii="Arial" w:hAnsi="Arial" w:cs="Arial"/>
          <w:bCs/>
          <w:noProof/>
          <w:color w:val="0D0D0D" w:themeColor="text1" w:themeTint="F2"/>
        </w:rPr>
        <w:drawing>
          <wp:inline distT="0" distB="0" distL="0" distR="0" wp14:anchorId="4F781517" wp14:editId="654CDA2F">
            <wp:extent cx="348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55C4456B" w14:textId="77777777" w:rsidR="007C7D94" w:rsidRPr="007C7D94" w:rsidRDefault="007C7D94" w:rsidP="007C7D94">
      <w:pPr>
        <w:tabs>
          <w:tab w:val="left" w:pos="3550"/>
        </w:tabs>
        <w:spacing w:line="360" w:lineRule="auto"/>
        <w:ind w:left="567" w:right="1128"/>
        <w:rPr>
          <w:rFonts w:ascii="Arial" w:hAnsi="Arial" w:cs="Arial"/>
          <w:bCs/>
          <w:color w:val="0D0D0D" w:themeColor="text1" w:themeTint="F2"/>
          <w:lang w:val="fr-FR"/>
        </w:rPr>
      </w:pPr>
      <w:r w:rsidRPr="007C7D94">
        <w:rPr>
          <w:rFonts w:ascii="Arial" w:hAnsi="Arial" w:cs="Arial"/>
          <w:bCs/>
          <w:color w:val="0D0D0D" w:themeColor="text1" w:themeTint="F2"/>
          <w:lang w:val="fr-FR"/>
        </w:rPr>
        <w:t xml:space="preserve">Avec ses éclairages pour les déplacements routiers, le </w:t>
      </w:r>
      <w:proofErr w:type="spellStart"/>
      <w:r w:rsidRPr="007C7D94">
        <w:rPr>
          <w:rFonts w:ascii="Arial" w:hAnsi="Arial" w:cs="Arial"/>
          <w:bCs/>
          <w:color w:val="0D0D0D" w:themeColor="text1" w:themeTint="F2"/>
          <w:lang w:val="fr-FR"/>
        </w:rPr>
        <w:t>Centaya</w:t>
      </w:r>
      <w:proofErr w:type="spellEnd"/>
      <w:r w:rsidRPr="007C7D94">
        <w:rPr>
          <w:rFonts w:ascii="Arial" w:hAnsi="Arial" w:cs="Arial"/>
          <w:bCs/>
          <w:color w:val="0D0D0D" w:themeColor="text1" w:themeTint="F2"/>
          <w:lang w:val="fr-FR"/>
        </w:rPr>
        <w:t xml:space="preserve"> 3000 </w:t>
      </w:r>
      <w:proofErr w:type="spellStart"/>
      <w:r w:rsidRPr="007C7D94">
        <w:rPr>
          <w:rFonts w:ascii="Arial" w:hAnsi="Arial" w:cs="Arial"/>
          <w:bCs/>
          <w:color w:val="0D0D0D" w:themeColor="text1" w:themeTint="F2"/>
          <w:lang w:val="fr-FR"/>
        </w:rPr>
        <w:t>Special</w:t>
      </w:r>
      <w:proofErr w:type="spellEnd"/>
      <w:r w:rsidRPr="007C7D94">
        <w:rPr>
          <w:rFonts w:ascii="Arial" w:hAnsi="Arial" w:cs="Arial"/>
          <w:bCs/>
          <w:color w:val="0D0D0D" w:themeColor="text1" w:themeTint="F2"/>
          <w:lang w:val="fr-FR"/>
        </w:rPr>
        <w:t xml:space="preserve"> répond à toutes les exigences pour circuler sur route en toute conformité.</w:t>
      </w:r>
    </w:p>
    <w:p w14:paraId="55A544E1" w14:textId="77777777" w:rsidR="00D43C2A" w:rsidRPr="007C7D94" w:rsidRDefault="00D43C2A" w:rsidP="00D43C2A">
      <w:pPr>
        <w:tabs>
          <w:tab w:val="left" w:pos="3550"/>
        </w:tabs>
        <w:spacing w:line="360" w:lineRule="auto"/>
        <w:ind w:left="567" w:right="1128"/>
        <w:rPr>
          <w:rFonts w:ascii="Arial" w:hAnsi="Arial" w:cs="Arial"/>
          <w:bCs/>
          <w:color w:val="FF0000"/>
          <w:lang w:val="en-US"/>
        </w:rPr>
      </w:pPr>
    </w:p>
    <w:p w14:paraId="62EEABE9" w14:textId="77777777" w:rsidR="00D43C2A" w:rsidRPr="007C7D94" w:rsidRDefault="00D43C2A" w:rsidP="00D43C2A">
      <w:pPr>
        <w:tabs>
          <w:tab w:val="left" w:pos="3550"/>
        </w:tabs>
        <w:spacing w:line="360" w:lineRule="auto"/>
        <w:ind w:left="567" w:right="1128"/>
        <w:rPr>
          <w:rFonts w:ascii="Arial" w:hAnsi="Arial" w:cs="Arial"/>
          <w:bCs/>
          <w:color w:val="FF0000"/>
          <w:lang w:val="en-US"/>
        </w:rPr>
      </w:pPr>
    </w:p>
    <w:p w14:paraId="122828C6" w14:textId="77777777" w:rsidR="00D43C2A" w:rsidRPr="007C7D94" w:rsidRDefault="00D43C2A" w:rsidP="00A52775">
      <w:pPr>
        <w:tabs>
          <w:tab w:val="left" w:pos="3550"/>
        </w:tabs>
        <w:spacing w:line="360" w:lineRule="auto"/>
        <w:ind w:right="1128"/>
        <w:rPr>
          <w:rFonts w:ascii="Arial" w:hAnsi="Arial" w:cs="Arial"/>
          <w:bCs/>
          <w:color w:val="FF0000"/>
          <w:lang w:val="en-US"/>
        </w:rPr>
      </w:pPr>
    </w:p>
    <w:p w14:paraId="353C6674" w14:textId="77777777" w:rsidR="004E4BDE" w:rsidRPr="00BF556D" w:rsidRDefault="004E4BDE" w:rsidP="004E4BDE">
      <w:pPr>
        <w:tabs>
          <w:tab w:val="left" w:pos="3550"/>
        </w:tabs>
        <w:spacing w:line="360" w:lineRule="auto"/>
        <w:ind w:left="567" w:right="1128"/>
        <w:rPr>
          <w:rFonts w:ascii="Arial" w:hAnsi="Arial"/>
          <w:color w:val="808080" w:themeColor="background1" w:themeShade="80"/>
          <w:sz w:val="20"/>
          <w:lang w:val="fr-FR"/>
        </w:rPr>
      </w:pPr>
      <w:r w:rsidRPr="00BF556D">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69333AB1" w14:textId="77777777" w:rsidR="004E4BDE" w:rsidRPr="00BF556D" w:rsidRDefault="004E4BDE" w:rsidP="004E4BDE">
      <w:pPr>
        <w:tabs>
          <w:tab w:val="left" w:pos="3550"/>
        </w:tabs>
        <w:spacing w:line="360" w:lineRule="auto"/>
        <w:ind w:left="567" w:right="1128"/>
        <w:rPr>
          <w:rFonts w:ascii="Arial" w:hAnsi="Arial"/>
          <w:b/>
          <w:color w:val="808080" w:themeColor="background1" w:themeShade="80"/>
          <w:sz w:val="20"/>
          <w:lang w:val="fr-FR"/>
        </w:rPr>
      </w:pPr>
    </w:p>
    <w:p w14:paraId="6D5F8E3C" w14:textId="77777777" w:rsidR="004E4BDE" w:rsidRPr="00BF556D" w:rsidRDefault="004E4BDE" w:rsidP="004E4BDE">
      <w:pPr>
        <w:tabs>
          <w:tab w:val="left" w:pos="3550"/>
        </w:tabs>
        <w:spacing w:line="360" w:lineRule="auto"/>
        <w:ind w:left="567" w:right="1128"/>
        <w:rPr>
          <w:rFonts w:ascii="Arial" w:hAnsi="Arial" w:cs="Arial"/>
          <w:b/>
          <w:bCs/>
          <w:color w:val="808080" w:themeColor="background1" w:themeShade="80"/>
          <w:sz w:val="20"/>
          <w:szCs w:val="20"/>
          <w:lang w:val="fr-FR"/>
        </w:rPr>
      </w:pPr>
      <w:r w:rsidRPr="00BF556D">
        <w:rPr>
          <w:rFonts w:ascii="Arial" w:hAnsi="Arial"/>
          <w:b/>
          <w:color w:val="808080" w:themeColor="background1" w:themeShade="80"/>
          <w:sz w:val="20"/>
          <w:lang w:val="fr-FR"/>
        </w:rPr>
        <w:t>A propos de la société AMAZONE</w:t>
      </w:r>
    </w:p>
    <w:p w14:paraId="05E09042" w14:textId="77777777" w:rsidR="004E4BDE" w:rsidRPr="00BF556D" w:rsidRDefault="004E4BDE" w:rsidP="004E4BDE">
      <w:pPr>
        <w:tabs>
          <w:tab w:val="left" w:pos="3550"/>
        </w:tabs>
        <w:spacing w:line="360" w:lineRule="auto"/>
        <w:ind w:left="567" w:right="1128"/>
        <w:rPr>
          <w:rFonts w:ascii="Arial" w:hAnsi="Arial" w:cs="Arial"/>
          <w:bCs/>
          <w:color w:val="808080" w:themeColor="background1" w:themeShade="80"/>
          <w:sz w:val="20"/>
          <w:szCs w:val="20"/>
          <w:lang w:val="fr-FR"/>
        </w:rPr>
      </w:pPr>
      <w:r w:rsidRPr="00BF556D">
        <w:rPr>
          <w:rFonts w:ascii="Arial" w:hAnsi="Arial"/>
          <w:color w:val="808080" w:themeColor="background1" w:themeShade="80"/>
          <w:sz w:val="20"/>
          <w:lang w:val="fr-FR"/>
        </w:rPr>
        <w:t xml:space="preserve">Les AMAZONEN-WERKE H. Dreyer SE &amp; Co. KG dont le siège principal se situe à 49205 </w:t>
      </w:r>
      <w:proofErr w:type="spellStart"/>
      <w:r w:rsidRPr="00BF556D">
        <w:rPr>
          <w:rFonts w:ascii="Arial" w:hAnsi="Arial"/>
          <w:color w:val="808080" w:themeColor="background1" w:themeShade="80"/>
          <w:sz w:val="20"/>
          <w:lang w:val="fr-FR"/>
        </w:rPr>
        <w:t>Hasbergen-Gaste</w:t>
      </w:r>
      <w:proofErr w:type="spellEnd"/>
      <w:r w:rsidRPr="00BF556D">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4" w:history="1">
        <w:r w:rsidRPr="00BF556D">
          <w:rPr>
            <w:rStyle w:val="Hyperlink"/>
            <w:rFonts w:ascii="Arial" w:hAnsi="Arial"/>
            <w:color w:val="808080" w:themeColor="background1" w:themeShade="80"/>
            <w:sz w:val="20"/>
            <w:lang w:val="fr-FR"/>
          </w:rPr>
          <w:t>www.amazone.net/fr</w:t>
        </w:r>
      </w:hyperlink>
    </w:p>
    <w:p w14:paraId="130ADC37" w14:textId="77777777" w:rsidR="004E4BDE" w:rsidRPr="00BF556D" w:rsidRDefault="004E4BDE" w:rsidP="004E4BDE">
      <w:pPr>
        <w:tabs>
          <w:tab w:val="left" w:pos="3550"/>
        </w:tabs>
        <w:spacing w:line="360" w:lineRule="auto"/>
        <w:ind w:left="567" w:right="1128"/>
        <w:rPr>
          <w:rFonts w:ascii="Arial" w:hAnsi="Arial" w:cs="Arial"/>
          <w:bCs/>
          <w:color w:val="FF0000"/>
          <w:sz w:val="20"/>
          <w:szCs w:val="20"/>
          <w:lang w:val="fr-FR"/>
        </w:rPr>
      </w:pPr>
      <w:r w:rsidRPr="00BF556D">
        <w:rPr>
          <w:noProof/>
          <w:color w:val="FF0000"/>
          <w:lang w:val="fr-FR"/>
        </w:rPr>
        <w:drawing>
          <wp:inline distT="0" distB="0" distL="0" distR="0" wp14:anchorId="22AEF237" wp14:editId="2C8EDF5B">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001B6274" wp14:editId="359CBF0D">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595A376E" wp14:editId="750D59CA">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1C3A8AA1" wp14:editId="0CE4F9D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r w:rsidRPr="00BF556D">
        <w:rPr>
          <w:noProof/>
          <w:color w:val="FF0000"/>
          <w:lang w:val="fr-FR"/>
        </w:rPr>
        <w:drawing>
          <wp:inline distT="0" distB="0" distL="0" distR="0" wp14:anchorId="47524FAD" wp14:editId="3BC7891F">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F556D">
        <w:rPr>
          <w:color w:val="FF0000"/>
          <w:lang w:val="fr-FR"/>
        </w:rPr>
        <w:t> </w:t>
      </w:r>
    </w:p>
    <w:p w14:paraId="252D2E94" w14:textId="4A7B3896" w:rsidR="00A46482" w:rsidRPr="004E4BDE" w:rsidRDefault="00A46482" w:rsidP="00120F80">
      <w:pPr>
        <w:tabs>
          <w:tab w:val="left" w:pos="3550"/>
        </w:tabs>
        <w:spacing w:line="360" w:lineRule="auto"/>
        <w:ind w:left="567" w:right="2262"/>
        <w:rPr>
          <w:rFonts w:ascii="Arial" w:hAnsi="Arial" w:cs="Arial"/>
          <w:bCs/>
          <w:color w:val="FF0000"/>
          <w:sz w:val="20"/>
          <w:szCs w:val="20"/>
        </w:rPr>
      </w:pPr>
    </w:p>
    <w:sectPr w:rsidR="00A46482" w:rsidRPr="004E4BDE"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B0CA1" w14:textId="77777777" w:rsidR="00842F88" w:rsidRDefault="00842F88">
      <w:r>
        <w:separator/>
      </w:r>
    </w:p>
  </w:endnote>
  <w:endnote w:type="continuationSeparator" w:id="0">
    <w:p w14:paraId="5512DE0E" w14:textId="77777777" w:rsidR="00842F88" w:rsidRDefault="00842F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FFC634C" w14:textId="77777777" w:rsidR="00D859F4" w:rsidRPr="0093254A" w:rsidRDefault="00D859F4" w:rsidP="00D859F4">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07A0FCF" w14:textId="77777777" w:rsidR="00D859F4" w:rsidRPr="0093254A" w:rsidRDefault="00D859F4" w:rsidP="00D859F4">
                          <w:pPr>
                            <w:ind w:right="57"/>
                            <w:jc w:val="right"/>
                            <w:rPr>
                              <w:rFonts w:ascii="Arial" w:hAnsi="Arial"/>
                              <w:sz w:val="20"/>
                            </w:rPr>
                          </w:pPr>
                        </w:p>
                        <w:p w14:paraId="0F7BE6E8" w14:textId="0F7BEB3E"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1FFC634C" w14:textId="77777777" w:rsidR="00D859F4" w:rsidRPr="0093254A" w:rsidRDefault="00D859F4" w:rsidP="00D859F4">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07A0FCF" w14:textId="77777777" w:rsidR="00D859F4" w:rsidRPr="0093254A" w:rsidRDefault="00D859F4" w:rsidP="00D859F4">
                    <w:pPr>
                      <w:ind w:right="57"/>
                      <w:jc w:val="right"/>
                      <w:rPr>
                        <w:rFonts w:ascii="Arial" w:hAnsi="Arial"/>
                        <w:sz w:val="20"/>
                      </w:rPr>
                    </w:pPr>
                  </w:p>
                  <w:p w14:paraId="0F7BE6E8" w14:textId="0F7BEB3E"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7C9D6F7" w14:textId="77777777" w:rsidR="004E4BDE" w:rsidRPr="0093254A" w:rsidRDefault="004E4BDE" w:rsidP="004E4BDE">
                          <w:pPr>
                            <w:spacing w:line="280" w:lineRule="exact"/>
                            <w:rPr>
                              <w:rFonts w:ascii="Arial" w:hAnsi="Arial"/>
                              <w:spacing w:val="2"/>
                              <w:sz w:val="20"/>
                            </w:rPr>
                          </w:pPr>
                          <w:r>
                            <w:rPr>
                              <w:rFonts w:ascii="Arial" w:hAnsi="Arial"/>
                              <w:sz w:val="20"/>
                            </w:rPr>
                            <w:t>AMAZONEN-WERKE H. DREYER SE &amp; Co. KG ∙ Am Amazonenwerk 9–13 ∙ D-49205 Hasbergen-Gaste</w:t>
                          </w:r>
                        </w:p>
                        <w:p w14:paraId="5548805F" w14:textId="77777777" w:rsidR="004E4BDE" w:rsidRPr="00882C27" w:rsidRDefault="004E4BDE" w:rsidP="004E4BDE">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597190A8" w14:textId="77777777" w:rsidR="004E4BDE" w:rsidRPr="00882C27" w:rsidRDefault="004E4BDE" w:rsidP="004E4BDE">
                          <w:pPr>
                            <w:spacing w:line="280" w:lineRule="exact"/>
                            <w:rPr>
                              <w:rFonts w:ascii="Arial" w:hAnsi="Arial"/>
                              <w:spacing w:val="2"/>
                              <w:sz w:val="20"/>
                              <w:lang w:val="fr-FR"/>
                            </w:rPr>
                          </w:pPr>
                        </w:p>
                        <w:p w14:paraId="60FD3ABD" w14:textId="1CE5D284" w:rsidR="005E0980" w:rsidRPr="004E4BDE"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37C9D6F7" w14:textId="77777777" w:rsidR="004E4BDE" w:rsidRPr="0093254A" w:rsidRDefault="004E4BDE" w:rsidP="004E4BDE">
                    <w:pPr>
                      <w:spacing w:line="280" w:lineRule="exact"/>
                      <w:rPr>
                        <w:rFonts w:ascii="Arial" w:hAnsi="Arial"/>
                        <w:spacing w:val="2"/>
                        <w:sz w:val="20"/>
                      </w:rPr>
                    </w:pPr>
                    <w:r>
                      <w:rPr>
                        <w:rFonts w:ascii="Arial" w:hAnsi="Arial"/>
                        <w:sz w:val="20"/>
                      </w:rPr>
                      <w:t>AMAZONEN-WERKE H. DREYER SE &amp; Co. KG ∙ Am Amazonenwerk 9–13 ∙ D-49205 Hasbergen-Gaste</w:t>
                    </w:r>
                  </w:p>
                  <w:p w14:paraId="5548805F" w14:textId="77777777" w:rsidR="004E4BDE" w:rsidRPr="00882C27" w:rsidRDefault="004E4BDE" w:rsidP="004E4BDE">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597190A8" w14:textId="77777777" w:rsidR="004E4BDE" w:rsidRPr="00882C27" w:rsidRDefault="004E4BDE" w:rsidP="004E4BDE">
                    <w:pPr>
                      <w:spacing w:line="280" w:lineRule="exact"/>
                      <w:rPr>
                        <w:rFonts w:ascii="Arial" w:hAnsi="Arial"/>
                        <w:spacing w:val="2"/>
                        <w:sz w:val="20"/>
                        <w:lang w:val="fr-FR"/>
                      </w:rPr>
                    </w:pPr>
                  </w:p>
                  <w:p w14:paraId="60FD3ABD" w14:textId="1CE5D284" w:rsidR="005E0980" w:rsidRPr="004E4BDE"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E8B92" w14:textId="77777777" w:rsidR="00842F88" w:rsidRDefault="00842F88">
      <w:r>
        <w:separator/>
      </w:r>
    </w:p>
  </w:footnote>
  <w:footnote w:type="continuationSeparator" w:id="0">
    <w:p w14:paraId="4263225D" w14:textId="77777777" w:rsidR="00842F88" w:rsidRDefault="00842F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5B7D32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82D6E5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E0BCF7"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6D42"/>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DFC"/>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F80"/>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17"/>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37E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5F6"/>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BDE"/>
    <w:rsid w:val="004E4EE0"/>
    <w:rsid w:val="004E51A5"/>
    <w:rsid w:val="004F412A"/>
    <w:rsid w:val="004F50C0"/>
    <w:rsid w:val="004F601B"/>
    <w:rsid w:val="004F67FD"/>
    <w:rsid w:val="004F6911"/>
    <w:rsid w:val="004F6B58"/>
    <w:rsid w:val="0050164F"/>
    <w:rsid w:val="005028BE"/>
    <w:rsid w:val="0050374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F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0F7"/>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C7D94"/>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2F88"/>
    <w:rsid w:val="008437E6"/>
    <w:rsid w:val="00843D17"/>
    <w:rsid w:val="00844F2A"/>
    <w:rsid w:val="00845A2B"/>
    <w:rsid w:val="00845B96"/>
    <w:rsid w:val="008470D1"/>
    <w:rsid w:val="008507E9"/>
    <w:rsid w:val="0085082B"/>
    <w:rsid w:val="00855B27"/>
    <w:rsid w:val="008561B4"/>
    <w:rsid w:val="00857866"/>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64F2"/>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775"/>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2FA"/>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556D"/>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3829"/>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2A"/>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9F4"/>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750C"/>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845</Words>
  <Characters>5327</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6160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